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569E7457"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4E76AD">
        <w:rPr>
          <w:rFonts w:ascii="Arial" w:hAnsi="Arial" w:cs="Arial"/>
          <w:b/>
          <w:sz w:val="22"/>
          <w:szCs w:val="24"/>
        </w:rPr>
        <w:t xml:space="preserve">Meeting </w:t>
      </w:r>
      <w:r w:rsidR="00C50604">
        <w:rPr>
          <w:rFonts w:ascii="Arial" w:hAnsi="Arial" w:cs="Arial"/>
          <w:b/>
          <w:sz w:val="22"/>
          <w:szCs w:val="24"/>
        </w:rPr>
        <w:t>AH 1801</w:t>
      </w:r>
      <w:r w:rsidR="00CE5F5F" w:rsidRPr="008E769D">
        <w:rPr>
          <w:rFonts w:ascii="Arial" w:hAnsi="Arial" w:cs="Arial"/>
          <w:b/>
          <w:sz w:val="22"/>
          <w:szCs w:val="24"/>
        </w:rPr>
        <w:t xml:space="preserve"> </w:t>
      </w:r>
      <w:r w:rsidR="00CE5F5F" w:rsidRPr="008E769D">
        <w:rPr>
          <w:rFonts w:ascii="Arial" w:hAnsi="Arial" w:cs="Arial"/>
          <w:b/>
          <w:sz w:val="22"/>
          <w:szCs w:val="24"/>
        </w:rPr>
        <w:tab/>
      </w:r>
      <w:r w:rsidR="00E77260" w:rsidRPr="00E77260">
        <w:rPr>
          <w:rFonts w:ascii="Arial" w:hAnsi="Arial" w:cs="Arial"/>
          <w:b/>
          <w:sz w:val="22"/>
          <w:szCs w:val="24"/>
        </w:rPr>
        <w:t>R1-1800878</w:t>
      </w:r>
    </w:p>
    <w:p w14:paraId="1DBE0C1E" w14:textId="56FEA18D" w:rsidR="00BC335A" w:rsidRPr="00BC335A" w:rsidRDefault="00C50604" w:rsidP="00BC335A">
      <w:pPr>
        <w:pStyle w:val="Footer"/>
        <w:jc w:val="both"/>
        <w:rPr>
          <w:rFonts w:cs="Arial"/>
          <w:i w:val="0"/>
          <w:noProof w:val="0"/>
          <w:sz w:val="22"/>
          <w:szCs w:val="24"/>
        </w:rPr>
      </w:pPr>
      <w:r>
        <w:rPr>
          <w:rFonts w:cs="Arial"/>
          <w:i w:val="0"/>
          <w:noProof w:val="0"/>
          <w:sz w:val="22"/>
          <w:szCs w:val="24"/>
        </w:rPr>
        <w:t>January</w:t>
      </w:r>
      <w:r w:rsidR="0061297E">
        <w:rPr>
          <w:rFonts w:cs="Arial"/>
          <w:i w:val="0"/>
          <w:noProof w:val="0"/>
          <w:sz w:val="22"/>
          <w:szCs w:val="24"/>
        </w:rPr>
        <w:t xml:space="preserve"> 2</w:t>
      </w:r>
      <w:r>
        <w:rPr>
          <w:rFonts w:cs="Arial"/>
          <w:i w:val="0"/>
          <w:noProof w:val="0"/>
          <w:sz w:val="22"/>
          <w:szCs w:val="24"/>
        </w:rPr>
        <w:t>2</w:t>
      </w:r>
      <w:r>
        <w:rPr>
          <w:rFonts w:cs="Arial"/>
          <w:i w:val="0"/>
          <w:noProof w:val="0"/>
          <w:sz w:val="22"/>
          <w:szCs w:val="24"/>
          <w:vertAlign w:val="superscript"/>
        </w:rPr>
        <w:t>nd</w:t>
      </w:r>
      <w:r w:rsidR="0061297E">
        <w:rPr>
          <w:rFonts w:cs="Arial"/>
          <w:i w:val="0"/>
          <w:noProof w:val="0"/>
          <w:sz w:val="22"/>
          <w:szCs w:val="24"/>
        </w:rPr>
        <w:t xml:space="preserve"> </w:t>
      </w:r>
      <w:r w:rsidR="00BC335A" w:rsidRPr="00BC335A">
        <w:rPr>
          <w:rFonts w:cs="Arial"/>
          <w:i w:val="0"/>
          <w:noProof w:val="0"/>
          <w:sz w:val="22"/>
          <w:szCs w:val="24"/>
        </w:rPr>
        <w:t xml:space="preserve"> –</w:t>
      </w:r>
      <w:r>
        <w:rPr>
          <w:rFonts w:cs="Arial"/>
          <w:i w:val="0"/>
          <w:noProof w:val="0"/>
          <w:sz w:val="22"/>
          <w:szCs w:val="24"/>
        </w:rPr>
        <w:t xml:space="preserve"> 26</w:t>
      </w:r>
      <w:r>
        <w:rPr>
          <w:rFonts w:cs="Arial"/>
          <w:i w:val="0"/>
          <w:noProof w:val="0"/>
          <w:sz w:val="22"/>
          <w:szCs w:val="24"/>
          <w:vertAlign w:val="superscript"/>
        </w:rPr>
        <w:t>th</w:t>
      </w:r>
      <w:r w:rsidR="00BC335A" w:rsidRPr="00BC335A">
        <w:rPr>
          <w:rFonts w:cs="Arial"/>
          <w:i w:val="0"/>
          <w:noProof w:val="0"/>
          <w:sz w:val="22"/>
          <w:szCs w:val="24"/>
        </w:rPr>
        <w:t xml:space="preserve"> 201</w:t>
      </w:r>
      <w:r>
        <w:rPr>
          <w:rFonts w:cs="Arial"/>
          <w:i w:val="0"/>
          <w:noProof w:val="0"/>
          <w:sz w:val="22"/>
          <w:szCs w:val="24"/>
        </w:rPr>
        <w:t>8</w:t>
      </w:r>
    </w:p>
    <w:p w14:paraId="2F2D8718" w14:textId="7F42E36A" w:rsidR="00CE5F5F" w:rsidRDefault="00C50604"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6FCF1DA3"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8D70ED">
        <w:rPr>
          <w:rFonts w:ascii="Arial" w:hAnsi="Arial"/>
          <w:sz w:val="22"/>
        </w:rPr>
        <w:t>5</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98CF53"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67333">
        <w:rPr>
          <w:rFonts w:ascii="Arial" w:hAnsi="Arial"/>
          <w:sz w:val="22"/>
        </w:rPr>
        <w:t xml:space="preserve">Soft </w:t>
      </w:r>
      <w:r w:rsidR="00117070">
        <w:rPr>
          <w:rFonts w:ascii="Arial" w:hAnsi="Arial"/>
          <w:sz w:val="22"/>
        </w:rPr>
        <w:t>B</w:t>
      </w:r>
      <w:r w:rsidR="00D67333">
        <w:rPr>
          <w:rFonts w:ascii="Arial" w:hAnsi="Arial"/>
          <w:sz w:val="22"/>
        </w:rPr>
        <w:t>uffer Manag</w:t>
      </w:r>
      <w:r w:rsidR="00A75F33">
        <w:rPr>
          <w:rFonts w:ascii="Arial" w:hAnsi="Arial"/>
          <w:sz w:val="22"/>
        </w:rPr>
        <w:t>e</w:t>
      </w:r>
      <w:r w:rsidR="00D67333">
        <w:rPr>
          <w:rFonts w:ascii="Arial" w:hAnsi="Arial"/>
          <w:sz w:val="22"/>
        </w:rPr>
        <w:t>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D8E5D4D" w:rsidR="001F2982" w:rsidRDefault="00B524B6" w:rsidP="0088176C">
      <w:pPr>
        <w:pStyle w:val="Heading1"/>
        <w:rPr>
          <w:lang w:val="en-US"/>
        </w:rPr>
      </w:pPr>
      <w:r w:rsidRPr="008E769D">
        <w:rPr>
          <w:lang w:val="en-US"/>
        </w:rPr>
        <w:t>Introduction</w:t>
      </w:r>
    </w:p>
    <w:p w14:paraId="3CDAFB58" w14:textId="1B0C53BE" w:rsidR="001146C1" w:rsidRDefault="008C3B6D" w:rsidP="001146C1">
      <w:r>
        <w:t xml:space="preserve">For this contribution, we discuss some remaining issues for soft buffer </w:t>
      </w:r>
      <w:r w:rsidR="00B465AE">
        <w:t>dimensioning</w:t>
      </w:r>
      <w:r>
        <w:t xml:space="preserve"> </w:t>
      </w:r>
      <w:r w:rsidR="00B465AE">
        <w:t>for</w:t>
      </w:r>
      <w:r>
        <w:t xml:space="preserve"> UE implementation.</w:t>
      </w:r>
      <w:r w:rsidR="001146C1">
        <w:t xml:space="preserve"> </w:t>
      </w:r>
      <w:r w:rsidR="001146C1">
        <w:rPr>
          <w:lang w:val="en-GB"/>
        </w:rPr>
        <w:t xml:space="preserve">Recall from RAN1 #89 </w:t>
      </w:r>
      <w:r w:rsidR="00CB1702">
        <w:rPr>
          <w:lang w:val="en-GB"/>
        </w:rPr>
        <w:t xml:space="preserve">[1] </w:t>
      </w:r>
      <w:r w:rsidR="001146C1">
        <w:rPr>
          <w:lang w:val="en-GB"/>
        </w:rPr>
        <w:t>that th</w:t>
      </w:r>
      <w:r w:rsidR="00CB1702">
        <w:rPr>
          <w:lang w:val="en-GB"/>
        </w:rPr>
        <w:t>e following agreement was made as guidance for HARQ management.</w:t>
      </w:r>
    </w:p>
    <w:p w14:paraId="37E94672" w14:textId="77777777" w:rsidR="001146C1" w:rsidRPr="00CB1702" w:rsidRDefault="001146C1" w:rsidP="001146C1">
      <w:pPr>
        <w:rPr>
          <w:b/>
          <w:u w:val="single"/>
        </w:rPr>
      </w:pPr>
      <w:r w:rsidRPr="00CB1702">
        <w:rPr>
          <w:b/>
          <w:highlight w:val="green"/>
          <w:u w:val="single"/>
        </w:rPr>
        <w:t>Agreement</w:t>
      </w:r>
    </w:p>
    <w:p w14:paraId="0B405756" w14:textId="77777777" w:rsidR="001146C1" w:rsidRPr="002C6424" w:rsidRDefault="001146C1" w:rsidP="001146C1">
      <w:pPr>
        <w:pStyle w:val="ListParagraph"/>
        <w:numPr>
          <w:ilvl w:val="0"/>
          <w:numId w:val="40"/>
        </w:numPr>
        <w:rPr>
          <w:rFonts w:eastAsia="MS Mincho"/>
          <w:iCs/>
          <w:lang w:eastAsia="ja-JP"/>
        </w:rPr>
      </w:pPr>
      <w:r w:rsidRPr="002C6424">
        <w:rPr>
          <w:rFonts w:eastAsia="MS Mincho"/>
          <w:iCs/>
          <w:lang w:eastAsia="ja-JP"/>
        </w:rPr>
        <w:t>A set of reference parameters is used for the purpose of soft buffer dimensioning</w:t>
      </w:r>
    </w:p>
    <w:p w14:paraId="3E634281"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A reference set of parameters includes at least DL HARQ RTT [</w:t>
      </w:r>
      <w:r w:rsidRPr="002C6424">
        <w:rPr>
          <w:rFonts w:eastAsia="MS Mincho"/>
          <w:i/>
          <w:iCs/>
          <w:lang w:eastAsia="ja-JP"/>
        </w:rPr>
        <w:t>Y</w:t>
      </w:r>
      <w:r w:rsidRPr="002C6424">
        <w:rPr>
          <w:rFonts w:eastAsia="MS Mincho"/>
          <w:iCs/>
          <w:lang w:eastAsia="ja-JP"/>
        </w:rPr>
        <w:t xml:space="preserve"> ms] and data rate(s) of </w:t>
      </w:r>
      <w:r w:rsidRPr="002C6424">
        <w:rPr>
          <w:rFonts w:eastAsia="MS Mincho"/>
          <w:i/>
          <w:iCs/>
          <w:lang w:eastAsia="ja-JP"/>
        </w:rPr>
        <w:t>X</w:t>
      </w:r>
      <w:r w:rsidRPr="002C6424">
        <w:rPr>
          <w:rFonts w:eastAsia="MS Mincho"/>
          <w:iCs/>
          <w:lang w:eastAsia="ja-JP"/>
        </w:rPr>
        <w:t xml:space="preserve"> Gbps </w:t>
      </w:r>
    </w:p>
    <w:p w14:paraId="00FB148D"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 xml:space="preserve">FFS: values of </w:t>
      </w:r>
      <w:r w:rsidRPr="002C6424">
        <w:rPr>
          <w:rFonts w:eastAsia="MS Mincho"/>
          <w:i/>
          <w:iCs/>
          <w:lang w:eastAsia="ja-JP"/>
        </w:rPr>
        <w:t>X</w:t>
      </w:r>
      <w:r w:rsidRPr="002C6424">
        <w:rPr>
          <w:rFonts w:eastAsia="MS Mincho"/>
          <w:iCs/>
          <w:lang w:eastAsia="ja-JP"/>
        </w:rPr>
        <w:t xml:space="preserve"> and </w:t>
      </w:r>
      <w:r w:rsidRPr="002C6424">
        <w:rPr>
          <w:rFonts w:eastAsia="MS Mincho"/>
          <w:i/>
          <w:iCs/>
          <w:lang w:eastAsia="ja-JP"/>
        </w:rPr>
        <w:t>Y</w:t>
      </w:r>
    </w:p>
    <w:p w14:paraId="3B5015DA"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FFS: other conditions</w:t>
      </w:r>
    </w:p>
    <w:p w14:paraId="0A63219E"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This does not imply UE has to have a HARQ-ACK timing based on the reference HARQ RTT</w:t>
      </w:r>
    </w:p>
    <w:p w14:paraId="180D6C0A"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FFS: how different UE categories are defined</w:t>
      </w:r>
    </w:p>
    <w:p w14:paraId="55F6739A"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LBRM is taken into account</w:t>
      </w:r>
    </w:p>
    <w:p w14:paraId="6ABDCF15" w14:textId="77777777" w:rsidR="001146C1" w:rsidRPr="002C6424" w:rsidRDefault="001146C1" w:rsidP="001146C1">
      <w:pPr>
        <w:pStyle w:val="ListParagraph"/>
        <w:numPr>
          <w:ilvl w:val="0"/>
          <w:numId w:val="40"/>
        </w:numPr>
        <w:rPr>
          <w:rFonts w:eastAsia="MS Mincho"/>
          <w:iCs/>
          <w:lang w:eastAsia="ja-JP"/>
        </w:rPr>
      </w:pPr>
      <w:r w:rsidRPr="002C6424">
        <w:rPr>
          <w:rFonts w:eastAsia="MS Mincho"/>
          <w:iCs/>
          <w:lang w:eastAsia="ja-JP"/>
        </w:rPr>
        <w:t xml:space="preserve">Maximum number of HARQ processes per carrier supported in NR is 8 or 16 </w:t>
      </w:r>
    </w:p>
    <w:p w14:paraId="0EBE474D"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This is at least for the single numerology case and a slot-level scheduling and single-TRxP transmission</w:t>
      </w:r>
    </w:p>
    <w:p w14:paraId="34C21350"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FFS: down-selection of 8 or 16</w:t>
      </w:r>
    </w:p>
    <w:p w14:paraId="146BC2B3" w14:textId="77777777" w:rsidR="001146C1" w:rsidRPr="002C6424" w:rsidRDefault="001146C1" w:rsidP="001146C1">
      <w:pPr>
        <w:pStyle w:val="ListParagraph"/>
        <w:numPr>
          <w:ilvl w:val="1"/>
          <w:numId w:val="40"/>
        </w:numPr>
        <w:rPr>
          <w:rFonts w:eastAsia="MS Mincho"/>
          <w:iCs/>
          <w:lang w:eastAsia="ja-JP"/>
        </w:rPr>
      </w:pPr>
      <w:r w:rsidRPr="002C6424">
        <w:rPr>
          <w:rFonts w:eastAsia="MS Mincho"/>
          <w:iCs/>
          <w:lang w:eastAsia="ja-JP"/>
        </w:rPr>
        <w:t>FFS: soft-buffer handling</w:t>
      </w:r>
    </w:p>
    <w:p w14:paraId="05191051" w14:textId="77777777" w:rsidR="001146C1" w:rsidRDefault="001146C1" w:rsidP="001146C1">
      <w:pPr>
        <w:pStyle w:val="ListParagraph"/>
        <w:numPr>
          <w:ilvl w:val="0"/>
          <w:numId w:val="40"/>
        </w:numPr>
      </w:pPr>
      <w:r w:rsidRPr="002C6424">
        <w:rPr>
          <w:rFonts w:eastAsia="MS Mincho"/>
          <w:iCs/>
          <w:lang w:eastAsia="ja-JP"/>
        </w:rPr>
        <w:t>FFS: the value may be different depending on a certain condition (e.g., subcarrier spacing)</w:t>
      </w:r>
      <w:r w:rsidDel="00D35EA2">
        <w:t xml:space="preserve"> </w:t>
      </w:r>
    </w:p>
    <w:p w14:paraId="0B6DA917" w14:textId="09DECA44" w:rsidR="00D444B7" w:rsidRDefault="00D67333" w:rsidP="001146C1">
      <w:r w:rsidRPr="00D444B7">
        <w:t xml:space="preserve"> </w:t>
      </w:r>
    </w:p>
    <w:p w14:paraId="6C0CEFEE" w14:textId="06D2146E" w:rsidR="006B053F" w:rsidRDefault="001146C1" w:rsidP="006B053F">
      <w:pPr>
        <w:overflowPunct/>
        <w:autoSpaceDE/>
        <w:autoSpaceDN/>
        <w:adjustRightInd/>
        <w:spacing w:before="100" w:beforeAutospacing="1" w:after="100" w:afterAutospacing="1"/>
        <w:textAlignment w:val="auto"/>
      </w:pPr>
      <w:r>
        <w:t>Additionally, the NR specification has proceeded along the following agreement from RAN1 #90 [2]</w:t>
      </w:r>
      <w:r w:rsidR="00CB1702">
        <w:t>.</w:t>
      </w:r>
    </w:p>
    <w:p w14:paraId="698A93BB" w14:textId="77777777" w:rsidR="00CB1702" w:rsidRPr="00D612C5" w:rsidRDefault="00CB1702" w:rsidP="00CB1702">
      <w:pPr>
        <w:rPr>
          <w:rFonts w:eastAsia="Yu Mincho"/>
          <w:b/>
          <w:iCs/>
          <w:u w:val="single"/>
        </w:rPr>
      </w:pPr>
      <w:r w:rsidRPr="00190FD7">
        <w:rPr>
          <w:rFonts w:eastAsia="Yu Mincho" w:hint="eastAsia"/>
          <w:b/>
          <w:iCs/>
          <w:highlight w:val="green"/>
          <w:u w:val="single"/>
        </w:rPr>
        <w:t>Agreements:</w:t>
      </w:r>
    </w:p>
    <w:p w14:paraId="04525AC8" w14:textId="77777777" w:rsidR="00CB1702" w:rsidRPr="00D612C5" w:rsidRDefault="00CB1702" w:rsidP="00CB1702">
      <w:pPr>
        <w:numPr>
          <w:ilvl w:val="0"/>
          <w:numId w:val="41"/>
        </w:numPr>
        <w:tabs>
          <w:tab w:val="left" w:pos="0"/>
        </w:tabs>
        <w:overflowPunct/>
        <w:autoSpaceDE/>
        <w:autoSpaceDN/>
        <w:adjustRightInd/>
        <w:spacing w:after="0"/>
        <w:textAlignment w:val="auto"/>
        <w:rPr>
          <w:iCs/>
        </w:rPr>
      </w:pPr>
      <w:r w:rsidRPr="00D612C5">
        <w:rPr>
          <w:iCs/>
        </w:rPr>
        <w:t>NR specification should decouple the transmit (or RV) buffer from soft buffer size of the UE receiver.</w:t>
      </w:r>
    </w:p>
    <w:p w14:paraId="66716912" w14:textId="77777777" w:rsidR="00CB1702" w:rsidRPr="00D612C5" w:rsidRDefault="00CB1702" w:rsidP="00CB1702">
      <w:pPr>
        <w:numPr>
          <w:ilvl w:val="1"/>
          <w:numId w:val="41"/>
        </w:numPr>
        <w:tabs>
          <w:tab w:val="left" w:pos="0"/>
        </w:tabs>
        <w:overflowPunct/>
        <w:autoSpaceDE/>
        <w:autoSpaceDN/>
        <w:adjustRightInd/>
        <w:spacing w:after="0"/>
        <w:textAlignment w:val="auto"/>
        <w:rPr>
          <w:iCs/>
        </w:rPr>
      </w:pPr>
      <w:r w:rsidRPr="00D612C5">
        <w:rPr>
          <w:rFonts w:hint="eastAsia"/>
          <w:iCs/>
        </w:rPr>
        <w:t>Note: transmit (</w:t>
      </w:r>
      <w:r w:rsidRPr="00D612C5">
        <w:rPr>
          <w:iCs/>
        </w:rPr>
        <w:t>or RV</w:t>
      </w:r>
      <w:r w:rsidRPr="00D612C5">
        <w:rPr>
          <w:rFonts w:hint="eastAsia"/>
          <w:iCs/>
        </w:rPr>
        <w:t>)</w:t>
      </w:r>
      <w:r w:rsidRPr="00D612C5">
        <w:rPr>
          <w:iCs/>
        </w:rPr>
        <w:t xml:space="preserve"> buffer refers to the PDSCH rate-matching buffer</w:t>
      </w:r>
    </w:p>
    <w:p w14:paraId="0DD1FB07" w14:textId="3FC84080" w:rsidR="00CB1702" w:rsidRDefault="00CB1702" w:rsidP="006B053F">
      <w:pPr>
        <w:overflowPunct/>
        <w:autoSpaceDE/>
        <w:autoSpaceDN/>
        <w:adjustRightInd/>
        <w:spacing w:before="100" w:beforeAutospacing="1" w:after="100" w:afterAutospacing="1"/>
        <w:textAlignment w:val="auto"/>
      </w:pPr>
      <w:r>
        <w:t>Meanwhile, the number of HARQ processes for the downlink can be configurable as decided in RAN1 AdHoc #3 [3]</w:t>
      </w:r>
      <w:r w:rsidR="00B465AE">
        <w:t>.</w:t>
      </w:r>
    </w:p>
    <w:p w14:paraId="648DBDFA" w14:textId="19DEC771" w:rsidR="00CB1702" w:rsidRPr="00CB1702" w:rsidRDefault="00CB1702" w:rsidP="00CB1702">
      <w:pPr>
        <w:rPr>
          <w:b/>
          <w:u w:val="single"/>
        </w:rPr>
      </w:pPr>
      <w:r w:rsidRPr="00CB1702">
        <w:rPr>
          <w:b/>
          <w:highlight w:val="green"/>
          <w:u w:val="single"/>
        </w:rPr>
        <w:t>Agreements:</w:t>
      </w:r>
    </w:p>
    <w:p w14:paraId="2CBE1BAE" w14:textId="77777777" w:rsidR="00CB1702" w:rsidRPr="007C29B7" w:rsidRDefault="00CB1702" w:rsidP="00CB1702">
      <w:pPr>
        <w:numPr>
          <w:ilvl w:val="0"/>
          <w:numId w:val="17"/>
        </w:numPr>
        <w:tabs>
          <w:tab w:val="left" w:pos="720"/>
        </w:tabs>
        <w:overflowPunct/>
        <w:autoSpaceDE/>
        <w:autoSpaceDN/>
        <w:adjustRightInd/>
        <w:spacing w:after="0"/>
        <w:textAlignment w:val="auto"/>
      </w:pPr>
      <w:r w:rsidRPr="007C29B7">
        <w:t>Maximum number of HARQ processes for unicast PDSCH is configured per cell for a UE</w:t>
      </w:r>
    </w:p>
    <w:p w14:paraId="14389F5B" w14:textId="77777777" w:rsidR="00CB1702" w:rsidRPr="007F00C4" w:rsidRDefault="00CB1702" w:rsidP="00CB1702">
      <w:pPr>
        <w:numPr>
          <w:ilvl w:val="1"/>
          <w:numId w:val="17"/>
        </w:numPr>
        <w:tabs>
          <w:tab w:val="left" w:pos="720"/>
        </w:tabs>
        <w:overflowPunct/>
        <w:autoSpaceDE/>
        <w:autoSpaceDN/>
        <w:adjustRightInd/>
        <w:spacing w:after="0"/>
        <w:textAlignment w:val="auto"/>
      </w:pPr>
      <w:r w:rsidRPr="007C29B7">
        <w:t>FFS impact on DCI design</w:t>
      </w:r>
    </w:p>
    <w:p w14:paraId="723FE093" w14:textId="321B1D9F" w:rsidR="00CB1702" w:rsidRDefault="00B10B3B" w:rsidP="006B053F">
      <w:pPr>
        <w:overflowPunct/>
        <w:autoSpaceDE/>
        <w:autoSpaceDN/>
        <w:adjustRightInd/>
        <w:spacing w:before="100" w:beforeAutospacing="1" w:after="100" w:afterAutospacing="1"/>
        <w:textAlignment w:val="auto"/>
      </w:pPr>
      <w:r>
        <w:t xml:space="preserve">The remaining aspect for </w:t>
      </w:r>
      <w:r w:rsidR="00DB58EF">
        <w:t xml:space="preserve">UE implementation is understanding </w:t>
      </w:r>
      <w:r w:rsidR="008C3B6D">
        <w:t>how many HARQ processes</w:t>
      </w:r>
      <w:r w:rsidR="00DB58EF">
        <w:t xml:space="preserve"> would be n</w:t>
      </w:r>
      <w:r w:rsidR="00B465AE">
        <w:t>eeded from network perspective. The implementation may target a reference use case for optimization while supporting other use cases with some degradation.</w:t>
      </w:r>
      <w:r w:rsidR="004502A2">
        <w:t xml:space="preserve"> </w:t>
      </w:r>
      <w:r w:rsidR="004502A2">
        <w:rPr>
          <w:lang w:val="en-GB"/>
        </w:rPr>
        <w:t>The following recommendation was made in a previous contribution [4].</w:t>
      </w:r>
    </w:p>
    <w:p w14:paraId="296FB50A" w14:textId="77777777" w:rsidR="00B10B3B" w:rsidRPr="00D444B7" w:rsidRDefault="00B10B3B" w:rsidP="006B053F">
      <w:pPr>
        <w:overflowPunct/>
        <w:autoSpaceDE/>
        <w:autoSpaceDN/>
        <w:adjustRightInd/>
        <w:spacing w:before="100" w:beforeAutospacing="1" w:after="100" w:afterAutospacing="1"/>
        <w:textAlignment w:val="auto"/>
      </w:pPr>
    </w:p>
    <w:p w14:paraId="3B681516" w14:textId="76AA7E5E" w:rsidR="00D67333" w:rsidRDefault="00EE583B" w:rsidP="00D67333">
      <w:pPr>
        <w:pStyle w:val="Heading1"/>
      </w:pPr>
      <w:r>
        <w:lastRenderedPageBreak/>
        <w:t>Soft Buffer Dimensioning</w:t>
      </w:r>
    </w:p>
    <w:p w14:paraId="27945C6E" w14:textId="33090218" w:rsidR="00EE583B" w:rsidRDefault="00EE583B" w:rsidP="00EE583B">
      <w:r>
        <w:rPr>
          <w:lang w:val="en-GB"/>
        </w:rPr>
        <w:t>It should be emphasized that the reason for targeting lower HARQ RTT when considering very high throughputs, is that typical applications (e.g., those on TCP) will not be able to use the high physical layer throughputs otherwise. A detailed analysis was presented i</w:t>
      </w:r>
      <w:r w:rsidR="005E041E">
        <w:rPr>
          <w:lang w:val="en-GB"/>
        </w:rPr>
        <w:t>n [</w:t>
      </w:r>
      <w:r w:rsidR="004502A2">
        <w:rPr>
          <w:lang w:val="en-GB"/>
        </w:rPr>
        <w:t>5</w:t>
      </w:r>
      <w:r w:rsidR="005E041E">
        <w:rPr>
          <w:lang w:val="en-GB"/>
        </w:rPr>
        <w:t>]</w:t>
      </w:r>
      <w:r>
        <w:rPr>
          <w:lang w:val="en-GB"/>
        </w:rPr>
        <w:t xml:space="preserve">, and example is shown below from this reference. </w:t>
      </w:r>
      <w:r>
        <w:t>Here we see that even though the offered physical layer rate is 10Gbps, the effect of TCP slow start means that the transaction utilizes less than 1Gbps, and this dramatically decreases as the RTT increases.</w:t>
      </w:r>
      <w:r w:rsidR="005E041E">
        <w:t xml:space="preserve"> Therefore, it can be beneficial not to burden the implementation with large soft b</w:t>
      </w:r>
      <w:r w:rsidR="00442694">
        <w:t>uffer dimensioning requirements, since they will be unlikely to be used.</w:t>
      </w:r>
    </w:p>
    <w:p w14:paraId="01AA9CCA" w14:textId="77777777" w:rsidR="00EE583B" w:rsidRDefault="00EE583B" w:rsidP="00EE583B">
      <w:pPr>
        <w:rPr>
          <w:lang w:val="en-GB"/>
        </w:rPr>
      </w:pPr>
    </w:p>
    <w:p w14:paraId="094DA709" w14:textId="77777777" w:rsidR="00EE583B" w:rsidRDefault="00EE583B" w:rsidP="00EE583B">
      <w:pPr>
        <w:keepNext/>
        <w:jc w:val="center"/>
      </w:pPr>
      <w:r>
        <w:rPr>
          <w:noProof/>
        </w:rPr>
        <w:drawing>
          <wp:inline distT="0" distB="0" distL="0" distR="0" wp14:anchorId="106D1639" wp14:editId="43FA3178">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1146" cy="3463105"/>
                    </a:xfrm>
                    <a:prstGeom prst="rect">
                      <a:avLst/>
                    </a:prstGeom>
                  </pic:spPr>
                </pic:pic>
              </a:graphicData>
            </a:graphic>
          </wp:inline>
        </w:drawing>
      </w:r>
    </w:p>
    <w:p w14:paraId="030DB9DA" w14:textId="1A63F169" w:rsidR="00EE583B" w:rsidRDefault="00EE583B" w:rsidP="00EE583B">
      <w:pPr>
        <w:pStyle w:val="Caption"/>
        <w:jc w:val="center"/>
      </w:pPr>
      <w:bookmarkStart w:id="1" w:name="_Ref485396426"/>
      <w:r>
        <w:t xml:space="preserve">Figure </w:t>
      </w:r>
      <w:r w:rsidR="00210507">
        <w:fldChar w:fldCharType="begin"/>
      </w:r>
      <w:r w:rsidR="00210507">
        <w:instrText xml:space="preserve"> SEQ F</w:instrText>
      </w:r>
      <w:r w:rsidR="00210507">
        <w:instrText xml:space="preserve">igure \* ARABIC </w:instrText>
      </w:r>
      <w:r w:rsidR="00210507">
        <w:fldChar w:fldCharType="separate"/>
      </w:r>
      <w:r>
        <w:rPr>
          <w:noProof/>
        </w:rPr>
        <w:t>4</w:t>
      </w:r>
      <w:r w:rsidR="00210507">
        <w:rPr>
          <w:noProof/>
        </w:rPr>
        <w:fldChar w:fldCharType="end"/>
      </w:r>
      <w:bookmarkEnd w:id="1"/>
      <w:r>
        <w:t xml:space="preserve">. Measured TCP Throughput sensitivity to latency and PER when PHY=10Gbps from </w:t>
      </w:r>
      <w:r>
        <w:rPr>
          <w:lang w:val="en-GB"/>
        </w:rPr>
        <w:fldChar w:fldCharType="begin"/>
      </w:r>
      <w:r>
        <w:rPr>
          <w:lang w:val="en-GB"/>
        </w:rPr>
        <w:instrText xml:space="preserve"> REF _Ref492911265 \r \h </w:instrText>
      </w:r>
      <w:r>
        <w:rPr>
          <w:lang w:val="en-GB"/>
        </w:rPr>
      </w:r>
      <w:r>
        <w:rPr>
          <w:lang w:val="en-GB"/>
        </w:rPr>
        <w:fldChar w:fldCharType="separate"/>
      </w:r>
      <w:r>
        <w:rPr>
          <w:lang w:val="en-GB"/>
        </w:rPr>
        <w:t>[</w:t>
      </w:r>
      <w:r w:rsidR="00210507">
        <w:rPr>
          <w:lang w:val="en-GB"/>
        </w:rPr>
        <w:t>5</w:t>
      </w:r>
      <w:bookmarkStart w:id="2" w:name="_GoBack"/>
      <w:bookmarkEnd w:id="2"/>
      <w:r>
        <w:rPr>
          <w:lang w:val="en-GB"/>
        </w:rPr>
        <w:t>]</w:t>
      </w:r>
      <w:r>
        <w:rPr>
          <w:lang w:val="en-GB"/>
        </w:rPr>
        <w:fldChar w:fldCharType="end"/>
      </w:r>
      <w:r>
        <w:t xml:space="preserve"> </w:t>
      </w:r>
    </w:p>
    <w:p w14:paraId="409F7F6E" w14:textId="33B635BD" w:rsidR="00EE583B" w:rsidRDefault="00EE583B" w:rsidP="00EE583B"/>
    <w:p w14:paraId="70385405" w14:textId="20E1ECBF" w:rsidR="00442694" w:rsidRDefault="00442694" w:rsidP="00EE583B">
      <w:r>
        <w:t>In light of these observations, and other simulations related to latency in various use cases [5], we have the following proposal which has impact to soft buffer dimensioning and management.</w:t>
      </w:r>
    </w:p>
    <w:p w14:paraId="4B0E4F78" w14:textId="2852FB14" w:rsidR="00442694" w:rsidRPr="00442694" w:rsidRDefault="00EE583B" w:rsidP="00EE583B">
      <w:r w:rsidRPr="000814BF">
        <w:rPr>
          <w:b/>
          <w:u w:val="single"/>
        </w:rPr>
        <w:t xml:space="preserve">Proposal </w:t>
      </w:r>
      <w:r w:rsidR="00B465AE">
        <w:rPr>
          <w:b/>
          <w:u w:val="single"/>
        </w:rPr>
        <w:t>1</w:t>
      </w:r>
      <w:r w:rsidRPr="000814BF">
        <w:rPr>
          <w:b/>
          <w:u w:val="single"/>
        </w:rPr>
        <w:t>:</w:t>
      </w:r>
      <w:r>
        <w:t xml:space="preserve"> </w:t>
      </w:r>
      <w:r w:rsidR="00442694">
        <w:t>For link-level baseband performance testing, the reference number of HARQ processes</w:t>
      </w:r>
      <w:r w:rsidR="00C5733F">
        <w:t xml:space="preserve"> should be set to 4 at least for high throughput use cases.</w:t>
      </w:r>
      <w:r w:rsidR="0007006F">
        <w:t xml:space="preserve"> No further specification of UE soft buffer size is needed.</w:t>
      </w:r>
    </w:p>
    <w:p w14:paraId="27723CEB" w14:textId="783AB82A" w:rsidR="00593A38" w:rsidRPr="00B465AE" w:rsidRDefault="009115F7" w:rsidP="00593A38">
      <w:pPr>
        <w:pStyle w:val="Heading1"/>
      </w:pPr>
      <w:r>
        <w:t>Conclusions</w:t>
      </w:r>
    </w:p>
    <w:p w14:paraId="5A33C98D" w14:textId="57BE5226" w:rsidR="009464C8" w:rsidRPr="009464C8" w:rsidRDefault="00593A38" w:rsidP="00593A38">
      <w:pPr>
        <w:rPr>
          <w:rFonts w:eastAsia="MS Mincho"/>
          <w:iCs/>
          <w:lang w:eastAsia="ja-JP"/>
        </w:rPr>
      </w:pPr>
      <w:r w:rsidRPr="000814BF">
        <w:rPr>
          <w:b/>
          <w:u w:val="single"/>
        </w:rPr>
        <w:t xml:space="preserve">Proposal </w:t>
      </w:r>
      <w:r w:rsidR="00B465AE">
        <w:rPr>
          <w:b/>
          <w:u w:val="single"/>
        </w:rPr>
        <w:t>1</w:t>
      </w:r>
      <w:r w:rsidRPr="000814BF">
        <w:rPr>
          <w:b/>
          <w:u w:val="single"/>
        </w:rPr>
        <w:t>:</w:t>
      </w:r>
      <w:r>
        <w:t xml:space="preserve"> </w:t>
      </w:r>
      <w:r w:rsidR="00C5733F">
        <w:t>For link-level baseband performance testing, the reference number of HARQ processes should be set to 4 at least for high throughput use cases.</w:t>
      </w:r>
      <w:r w:rsidR="0007006F">
        <w:t xml:space="preserve"> No further specification of UE soft buffer size is needed.</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480832E8" w14:textId="2DEC2266" w:rsidR="00CB1702" w:rsidRPr="00CB1702" w:rsidRDefault="00CB1702" w:rsidP="00CB1702">
      <w:pPr>
        <w:numPr>
          <w:ilvl w:val="0"/>
          <w:numId w:val="2"/>
        </w:numPr>
        <w:spacing w:before="100" w:beforeAutospacing="1" w:after="100" w:afterAutospacing="1"/>
        <w:rPr>
          <w:szCs w:val="22"/>
        </w:rPr>
      </w:pPr>
      <w:r>
        <w:rPr>
          <w:szCs w:val="22"/>
        </w:rPr>
        <w:t>RAN1 #89 Chairman’s Notes, Hangzhou, China</w:t>
      </w:r>
    </w:p>
    <w:p w14:paraId="0CE3836B" w14:textId="199D7117" w:rsidR="00352C3F" w:rsidRDefault="00CB1702" w:rsidP="00352C3F">
      <w:pPr>
        <w:numPr>
          <w:ilvl w:val="0"/>
          <w:numId w:val="2"/>
        </w:numPr>
        <w:spacing w:before="100" w:beforeAutospacing="1" w:after="100" w:afterAutospacing="1"/>
        <w:rPr>
          <w:szCs w:val="22"/>
        </w:rPr>
      </w:pPr>
      <w:r>
        <w:rPr>
          <w:szCs w:val="22"/>
        </w:rPr>
        <w:t>RAN1 #90 Chairman’s Notes,</w:t>
      </w:r>
      <w:r w:rsidR="00117070">
        <w:rPr>
          <w:szCs w:val="22"/>
        </w:rPr>
        <w:t xml:space="preserve"> Prague, Czech Republic</w:t>
      </w:r>
    </w:p>
    <w:p w14:paraId="7B738AD1" w14:textId="2766AE81" w:rsidR="00CB1702" w:rsidRPr="00CB1702" w:rsidRDefault="00CB1702" w:rsidP="00CB1702">
      <w:pPr>
        <w:numPr>
          <w:ilvl w:val="0"/>
          <w:numId w:val="2"/>
        </w:numPr>
        <w:spacing w:before="100" w:beforeAutospacing="1" w:after="100" w:afterAutospacing="1"/>
        <w:rPr>
          <w:szCs w:val="22"/>
        </w:rPr>
      </w:pPr>
      <w:r>
        <w:rPr>
          <w:szCs w:val="22"/>
        </w:rPr>
        <w:t>RAN1 Ad Hoc #3 Chairman’s Notes, Nagoya, Japan</w:t>
      </w:r>
    </w:p>
    <w:p w14:paraId="16F88CBE" w14:textId="52C8B27D" w:rsidR="001577C8" w:rsidRPr="001577C8" w:rsidRDefault="001577C8" w:rsidP="001577C8">
      <w:pPr>
        <w:numPr>
          <w:ilvl w:val="0"/>
          <w:numId w:val="2"/>
        </w:numPr>
        <w:spacing w:before="100" w:beforeAutospacing="1" w:after="100" w:afterAutospacing="1"/>
        <w:rPr>
          <w:szCs w:val="22"/>
        </w:rPr>
      </w:pPr>
      <w:r w:rsidRPr="001577C8">
        <w:rPr>
          <w:szCs w:val="22"/>
        </w:rPr>
        <w:t>R1-1717314</w:t>
      </w:r>
      <w:r>
        <w:rPr>
          <w:szCs w:val="22"/>
        </w:rPr>
        <w:t>, “</w:t>
      </w:r>
      <w:r w:rsidRPr="001577C8">
        <w:rPr>
          <w:szCs w:val="22"/>
        </w:rPr>
        <w:t>On UE categories and capabilities in NR</w:t>
      </w:r>
      <w:r>
        <w:rPr>
          <w:szCs w:val="22"/>
        </w:rPr>
        <w:t>”,</w:t>
      </w:r>
      <w:r w:rsidRPr="001577C8">
        <w:rPr>
          <w:szCs w:val="22"/>
        </w:rPr>
        <w:tab/>
        <w:t>Intel Corporation</w:t>
      </w:r>
      <w:r>
        <w:rPr>
          <w:szCs w:val="22"/>
        </w:rPr>
        <w:t>, RAN1 #90bis, Prague, Czech Republic</w:t>
      </w:r>
    </w:p>
    <w:p w14:paraId="62B47707" w14:textId="758F5C93" w:rsidR="005E041E" w:rsidRPr="005E041E" w:rsidRDefault="005E041E" w:rsidP="005E041E">
      <w:pPr>
        <w:numPr>
          <w:ilvl w:val="0"/>
          <w:numId w:val="2"/>
        </w:numPr>
        <w:spacing w:before="100" w:beforeAutospacing="1" w:after="100" w:afterAutospacing="1"/>
      </w:pPr>
      <w:bookmarkStart w:id="3" w:name="_Ref492911265"/>
      <w:r>
        <w:t>R1-1711205, “</w:t>
      </w:r>
      <w:r w:rsidRPr="008A3041">
        <w:t>Low latency Impact Analysis on User Plane and Control Plane</w:t>
      </w:r>
      <w:r>
        <w:t>”, Qualcomm Incorporated, RAN1 AdHoc #2, Qingdao, China</w:t>
      </w:r>
      <w:bookmarkEnd w:id="3"/>
    </w:p>
    <w:p w14:paraId="2044FBA0" w14:textId="09841D0E" w:rsidR="002E4881" w:rsidRDefault="002E4881" w:rsidP="002E4881">
      <w:pPr>
        <w:spacing w:before="100" w:beforeAutospacing="1" w:after="100" w:afterAutospacing="1"/>
      </w:pPr>
    </w:p>
    <w:sectPr w:rsidR="002E488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CB964" w14:textId="77777777" w:rsidR="0098007E" w:rsidRDefault="0098007E">
      <w:r>
        <w:separator/>
      </w:r>
    </w:p>
  </w:endnote>
  <w:endnote w:type="continuationSeparator" w:id="0">
    <w:p w14:paraId="31B2E60B" w14:textId="77777777" w:rsidR="0098007E" w:rsidRDefault="0098007E">
      <w:r>
        <w:continuationSeparator/>
      </w:r>
    </w:p>
  </w:endnote>
  <w:endnote w:type="continuationNotice" w:id="1">
    <w:p w14:paraId="4A27F58F" w14:textId="77777777" w:rsidR="0098007E" w:rsidRDefault="00980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EE588E" w:rsidRDefault="00EE58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E588E" w:rsidRDefault="00EE58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442B6978" w:rsidR="00EE588E" w:rsidRDefault="00EE58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050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050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D1C66" w14:textId="77777777" w:rsidR="0098007E" w:rsidRDefault="0098007E">
      <w:r>
        <w:separator/>
      </w:r>
    </w:p>
  </w:footnote>
  <w:footnote w:type="continuationSeparator" w:id="0">
    <w:p w14:paraId="65F06F9D" w14:textId="77777777" w:rsidR="0098007E" w:rsidRDefault="0098007E">
      <w:r>
        <w:continuationSeparator/>
      </w:r>
    </w:p>
  </w:footnote>
  <w:footnote w:type="continuationNotice" w:id="1">
    <w:p w14:paraId="3E7E5A96" w14:textId="77777777" w:rsidR="0098007E" w:rsidRDefault="00980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EE588E" w:rsidRDefault="00EE58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6"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7F7A"/>
    <w:multiLevelType w:val="hybridMultilevel"/>
    <w:tmpl w:val="39B67108"/>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C5F56"/>
    <w:multiLevelType w:val="hybridMultilevel"/>
    <w:tmpl w:val="F38E4AEC"/>
    <w:lvl w:ilvl="0" w:tplc="55CE2E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59C0D8E"/>
    <w:multiLevelType w:val="multilevel"/>
    <w:tmpl w:val="5EF2C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7319F"/>
    <w:multiLevelType w:val="multilevel"/>
    <w:tmpl w:val="C228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2"/>
  </w:num>
  <w:num w:numId="4">
    <w:abstractNumId w:val="12"/>
  </w:num>
  <w:num w:numId="5">
    <w:abstractNumId w:val="35"/>
  </w:num>
  <w:num w:numId="6">
    <w:abstractNumId w:val="36"/>
  </w:num>
  <w:num w:numId="7">
    <w:abstractNumId w:val="34"/>
  </w:num>
  <w:num w:numId="8">
    <w:abstractNumId w:val="11"/>
  </w:num>
  <w:num w:numId="9">
    <w:abstractNumId w:val="16"/>
  </w:num>
  <w:num w:numId="10">
    <w:abstractNumId w:val="20"/>
  </w:num>
  <w:num w:numId="11">
    <w:abstractNumId w:val="21"/>
  </w:num>
  <w:num w:numId="12">
    <w:abstractNumId w:val="6"/>
  </w:num>
  <w:num w:numId="13">
    <w:abstractNumId w:val="18"/>
  </w:num>
  <w:num w:numId="14">
    <w:abstractNumId w:val="3"/>
  </w:num>
  <w:num w:numId="15">
    <w:abstractNumId w:val="26"/>
  </w:num>
  <w:num w:numId="16">
    <w:abstractNumId w:val="37"/>
  </w:num>
  <w:num w:numId="17">
    <w:abstractNumId w:val="22"/>
  </w:num>
  <w:num w:numId="18">
    <w:abstractNumId w:val="4"/>
  </w:num>
  <w:num w:numId="19">
    <w:abstractNumId w:val="28"/>
  </w:num>
  <w:num w:numId="20">
    <w:abstractNumId w:val="9"/>
  </w:num>
  <w:num w:numId="21">
    <w:abstractNumId w:val="13"/>
  </w:num>
  <w:num w:numId="22">
    <w:abstractNumId w:val="33"/>
  </w:num>
  <w:num w:numId="23">
    <w:abstractNumId w:val="24"/>
  </w:num>
  <w:num w:numId="24">
    <w:abstractNumId w:val="7"/>
  </w:num>
  <w:num w:numId="25">
    <w:abstractNumId w:val="31"/>
  </w:num>
  <w:num w:numId="26">
    <w:abstractNumId w:val="30"/>
  </w:num>
  <w:num w:numId="27">
    <w:abstractNumId w:val="15"/>
  </w:num>
  <w:num w:numId="28">
    <w:abstractNumId w:val="29"/>
  </w:num>
  <w:num w:numId="29">
    <w:abstractNumId w:val="27"/>
  </w:num>
  <w:num w:numId="30">
    <w:abstractNumId w:val="19"/>
  </w:num>
  <w:num w:numId="31">
    <w:abstractNumId w:val="32"/>
  </w:num>
  <w:num w:numId="32">
    <w:abstractNumId w:val="11"/>
  </w:num>
  <w:num w:numId="33">
    <w:abstractNumId w:val="38"/>
  </w:num>
  <w:num w:numId="34">
    <w:abstractNumId w:val="25"/>
  </w:num>
  <w:num w:numId="35">
    <w:abstractNumId w:val="29"/>
  </w:num>
  <w:num w:numId="36">
    <w:abstractNumId w:val="5"/>
  </w:num>
  <w:num w:numId="37">
    <w:abstractNumId w:val="1"/>
  </w:num>
  <w:num w:numId="38">
    <w:abstractNumId w:val="23"/>
  </w:num>
  <w:num w:numId="39">
    <w:abstractNumId w:val="17"/>
  </w:num>
  <w:num w:numId="40">
    <w:abstractNumId w:val="8"/>
  </w:num>
  <w:num w:numId="4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06F"/>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245"/>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1"/>
    <w:rsid w:val="001146C6"/>
    <w:rsid w:val="001147B8"/>
    <w:rsid w:val="00114949"/>
    <w:rsid w:val="00114E61"/>
    <w:rsid w:val="00114EA7"/>
    <w:rsid w:val="0011536C"/>
    <w:rsid w:val="00115716"/>
    <w:rsid w:val="0011584C"/>
    <w:rsid w:val="001158D5"/>
    <w:rsid w:val="00115EA2"/>
    <w:rsid w:val="00116339"/>
    <w:rsid w:val="00116A2D"/>
    <w:rsid w:val="00117070"/>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577C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3E20"/>
    <w:rsid w:val="001B4094"/>
    <w:rsid w:val="001B41E4"/>
    <w:rsid w:val="001B4371"/>
    <w:rsid w:val="001B510D"/>
    <w:rsid w:val="001B5332"/>
    <w:rsid w:val="001B54E9"/>
    <w:rsid w:val="001B55DE"/>
    <w:rsid w:val="001B6470"/>
    <w:rsid w:val="001B6740"/>
    <w:rsid w:val="001B7066"/>
    <w:rsid w:val="001B70CF"/>
    <w:rsid w:val="001B748B"/>
    <w:rsid w:val="001B7905"/>
    <w:rsid w:val="001B7FA0"/>
    <w:rsid w:val="001C0085"/>
    <w:rsid w:val="001C02C2"/>
    <w:rsid w:val="001C05EB"/>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507"/>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4B6C"/>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3D6"/>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62F9"/>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08"/>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532"/>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94"/>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2A2"/>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5AD"/>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6AD"/>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3A38"/>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91C"/>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41E"/>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29A"/>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3F"/>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9FF"/>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B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C17"/>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0ED"/>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0C"/>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5F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4C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5BB6"/>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07E"/>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BE"/>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33"/>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7EC"/>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3B"/>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65AE"/>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50F"/>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60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33F"/>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702"/>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4B7"/>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5F"/>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333"/>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8EF"/>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705"/>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6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2F"/>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3B"/>
    <w:rsid w:val="00EE588E"/>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237605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82100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089075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02116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68593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HR33RHYHUWRF-4-6323</_dlc_DocId>
    <_dlc_DocIdUrl xmlns="c06861ca-3f08-4d07-bff7-bb15bac121f4">
      <Url>https://projects.qualcomm.com/sites/pentari/_layouts/15/DocIdRedir.aspx?ID=HR33RHYHUWRF-4-6323</Url>
      <Description>HR33RHYHUWRF-4-6323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purl.org/dc/dcmitype/"/>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c06861ca-3f08-4d07-bff7-bb15bac121f4"/>
    <ds:schemaRef ds:uri="http://www.w3.org/XML/1998/namespace"/>
  </ds:schemaRefs>
</ds:datastoreItem>
</file>

<file path=customXml/itemProps5.xml><?xml version="1.0" encoding="utf-8"?>
<ds:datastoreItem xmlns:ds="http://schemas.openxmlformats.org/officeDocument/2006/customXml" ds:itemID="{2039482F-C909-4B88-A023-F5A99836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52</cp:revision>
  <cp:lastPrinted>2017-03-25T00:57:00Z</cp:lastPrinted>
  <dcterms:created xsi:type="dcterms:W3CDTF">2017-10-12T10:21:00Z</dcterms:created>
  <dcterms:modified xsi:type="dcterms:W3CDTF">2018-01-13T00:16:00Z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00b40cab-a9a8-4065-b1ff-2f6cd1a0070f</vt:lpwstr>
  </property>
  <property fmtid="{D5CDD505-2E9C-101B-9397-08002B2CF9AE}" pid="4" name="ContentTypeId">
    <vt:lpwstr>0x010100BC29BFD66497B943AA3B102F0C7B1355</vt:lpwstr>
  </property>
</Properties>
</file>